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TEXTE </w:t>
      </w:r>
      <w:r>
        <w:rPr>
          <w:b/>
          <w:sz w:val="28"/>
          <w:szCs w:val="28"/>
          <w:u w:val="single"/>
          <w:lang w:val="en-US"/>
        </w:rPr>
        <w:t>dépliants</w:t>
      </w:r>
      <w:r>
        <w:rPr>
          <w:b/>
          <w:sz w:val="28"/>
          <w:szCs w:val="28"/>
          <w:u w:val="single"/>
        </w:rPr>
        <w:t>/ PAE/JF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I/ </w:t>
      </w:r>
      <w:r>
        <w:rPr>
          <w:b/>
          <w:sz w:val="28"/>
          <w:szCs w:val="28"/>
          <w:u w:val="single"/>
        </w:rPr>
        <w:t>PRESENTATION</w:t>
      </w:r>
    </w:p>
    <w:p>
      <w:pPr>
        <w:pStyle w:val="style0"/>
        <w:rPr/>
      </w:pPr>
    </w:p>
    <w:p>
      <w:pPr>
        <w:pStyle w:val="style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Créé le 23 juin 2017 par arrêté conjoint n°2017-032/PM/MINEFID, Le Programme d’Autonomisation Economique des Jeunes et des Femmes (PAE/JF),  est une concrétisation d’une promesse de campagne du Président du Faso, son </w:t>
      </w:r>
      <w:r>
        <w:rPr>
          <w:sz w:val="32"/>
          <w:szCs w:val="32"/>
        </w:rPr>
        <w:t>Excellence Rock Marc Christian KABORE</w:t>
      </w:r>
      <w:r>
        <w:rPr>
          <w:sz w:val="32"/>
          <w:szCs w:val="32"/>
        </w:rPr>
        <w:t xml:space="preserve">, qui dans son programme « Bâtir avec le peuple un Burkina Faso de démocratie, de progrès économique et social, de liberté et de justice », a placé la question de l’emploi au centre de ses préoccupations. </w:t>
      </w:r>
    </w:p>
    <w:p>
      <w:pPr>
        <w:pStyle w:val="style0"/>
        <w:jc w:val="both"/>
        <w:rPr>
          <w:sz w:val="32"/>
          <w:szCs w:val="32"/>
        </w:rPr>
      </w:pPr>
      <w:r>
        <w:rPr>
          <w:sz w:val="32"/>
          <w:szCs w:val="32"/>
        </w:rPr>
        <w:t>Sous la tutelle technique du Premier ministère, le PAE/JF</w:t>
      </w:r>
      <w:r>
        <w:rPr>
          <w:sz w:val="32"/>
          <w:szCs w:val="32"/>
        </w:rPr>
        <w:t xml:space="preserve"> contribue à la réduction du chômage et du sous-emploi des jeunes et des femmes à travers le financement de  microprojets. Les secteurs d’activités concernés sont le commerce, l’artisanat, l’agropastoral et les services.</w:t>
      </w:r>
    </w:p>
    <w:p>
      <w:pPr>
        <w:pStyle w:val="style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Ses financements s’adressent spécifiquement aux </w:t>
      </w:r>
      <w:r>
        <w:rPr>
          <w:sz w:val="32"/>
          <w:szCs w:val="32"/>
        </w:rPr>
        <w:t xml:space="preserve">jeunes </w:t>
      </w:r>
      <w:r>
        <w:rPr>
          <w:sz w:val="32"/>
          <w:szCs w:val="32"/>
        </w:rPr>
        <w:t>et</w:t>
      </w:r>
      <w:r>
        <w:rPr>
          <w:sz w:val="32"/>
          <w:szCs w:val="32"/>
        </w:rPr>
        <w:t xml:space="preserve"> femmes </w:t>
      </w:r>
      <w:r>
        <w:rPr>
          <w:sz w:val="32"/>
          <w:szCs w:val="32"/>
        </w:rPr>
        <w:t>sans emploi ainsi qu’aux groupements/ a</w:t>
      </w:r>
      <w:r>
        <w:rPr>
          <w:sz w:val="32"/>
          <w:szCs w:val="32"/>
        </w:rPr>
        <w:t>ssociations profess</w:t>
      </w:r>
      <w:r>
        <w:rPr>
          <w:sz w:val="32"/>
          <w:szCs w:val="32"/>
        </w:rPr>
        <w:t>ionnels de jeunes ou de femmes.</w:t>
      </w:r>
    </w:p>
    <w:p>
      <w:pPr>
        <w:pStyle w:val="style0"/>
        <w:jc w:val="both"/>
        <w:rPr>
          <w:sz w:val="32"/>
          <w:szCs w:val="32"/>
        </w:rPr>
      </w:pPr>
    </w:p>
    <w:p>
      <w:pPr>
        <w:pStyle w:val="style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II/ </w:t>
      </w:r>
      <w:r>
        <w:rPr>
          <w:b/>
          <w:sz w:val="32"/>
          <w:szCs w:val="32"/>
          <w:u w:val="single"/>
        </w:rPr>
        <w:t xml:space="preserve">Critères </w:t>
      </w:r>
      <w:r>
        <w:rPr>
          <w:b/>
          <w:sz w:val="32"/>
          <w:szCs w:val="32"/>
          <w:u w:val="single"/>
        </w:rPr>
        <w:t xml:space="preserve">et modalités des financements (édition </w:t>
      </w:r>
      <w:r>
        <w:rPr>
          <w:b/>
          <w:sz w:val="32"/>
          <w:szCs w:val="32"/>
          <w:u w:val="single"/>
        </w:rPr>
        <w:t>2019</w:t>
      </w:r>
      <w:r>
        <w:rPr>
          <w:b/>
          <w:sz w:val="32"/>
          <w:szCs w:val="32"/>
          <w:u w:val="single"/>
        </w:rPr>
        <w:t>)</w:t>
      </w:r>
    </w:p>
    <w:p>
      <w:pPr>
        <w:pStyle w:val="style0"/>
        <w:jc w:val="both"/>
        <w:rPr>
          <w:sz w:val="32"/>
          <w:szCs w:val="32"/>
        </w:rPr>
      </w:pPr>
      <w:r>
        <w:rPr>
          <w:sz w:val="32"/>
          <w:szCs w:val="32"/>
        </w:rPr>
        <w:t>Etre un</w:t>
      </w:r>
      <w:r>
        <w:rPr>
          <w:sz w:val="32"/>
          <w:szCs w:val="32"/>
        </w:rPr>
        <w:t xml:space="preserve"> jeune sans emploi âgé de 18 à 35 ans ou une femme sans emploi âgée de 18 à 60 ans.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L’octroie des financements se fait en individuel, en association ou en groupement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Les seuils des concours vont de 100 000 </w:t>
      </w:r>
      <w:r>
        <w:rPr>
          <w:sz w:val="32"/>
          <w:szCs w:val="32"/>
        </w:rPr>
        <w:t>à 1 000 000 FCFA.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Les taux d’intérêts sont de 0% pour  les </w:t>
      </w:r>
      <w:r>
        <w:rPr>
          <w:sz w:val="32"/>
          <w:szCs w:val="32"/>
        </w:rPr>
        <w:t>pers</w:t>
      </w:r>
      <w:r>
        <w:rPr>
          <w:sz w:val="32"/>
          <w:szCs w:val="32"/>
        </w:rPr>
        <w:t>onnes vivant</w:t>
      </w:r>
      <w:r>
        <w:rPr>
          <w:sz w:val="32"/>
          <w:szCs w:val="32"/>
        </w:rPr>
        <w:t xml:space="preserve"> avec un handicap,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1% </w:t>
      </w:r>
      <w:r>
        <w:rPr>
          <w:sz w:val="32"/>
          <w:szCs w:val="32"/>
        </w:rPr>
        <w:t xml:space="preserve">pour les  femmes et </w:t>
      </w:r>
      <w:r>
        <w:rPr>
          <w:sz w:val="32"/>
          <w:szCs w:val="32"/>
        </w:rPr>
        <w:t xml:space="preserve">2% </w:t>
      </w:r>
      <w:r>
        <w:rPr>
          <w:sz w:val="32"/>
          <w:szCs w:val="32"/>
        </w:rPr>
        <w:t xml:space="preserve"> pour les J</w:t>
      </w:r>
      <w:r>
        <w:rPr>
          <w:sz w:val="32"/>
          <w:szCs w:val="32"/>
        </w:rPr>
        <w:t>eunes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La durée du prêt est de 36 mois maximum avec un différé </w:t>
      </w:r>
      <w:r>
        <w:rPr>
          <w:sz w:val="32"/>
          <w:szCs w:val="32"/>
        </w:rPr>
        <w:t xml:space="preserve">de remboursement </w:t>
      </w:r>
      <w:r>
        <w:rPr>
          <w:sz w:val="32"/>
          <w:szCs w:val="32"/>
        </w:rPr>
        <w:t>de 1 à 6 mois.</w:t>
      </w:r>
    </w:p>
    <w:p>
      <w:pPr>
        <w:pStyle w:val="style0"/>
        <w:jc w:val="both"/>
        <w:rPr>
          <w:sz w:val="32"/>
          <w:szCs w:val="32"/>
        </w:rPr>
      </w:pPr>
    </w:p>
    <w:p>
      <w:pPr>
        <w:pStyle w:val="style0"/>
        <w:jc w:val="both"/>
        <w:rPr>
          <w:sz w:val="32"/>
          <w:szCs w:val="32"/>
        </w:rPr>
      </w:pPr>
    </w:p>
    <w:p>
      <w:pPr>
        <w:pStyle w:val="style0"/>
        <w:jc w:val="both"/>
        <w:rPr>
          <w:sz w:val="32"/>
          <w:szCs w:val="32"/>
        </w:rPr>
      </w:pPr>
    </w:p>
    <w:p>
      <w:pPr>
        <w:pStyle w:val="style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III//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 Conditions d’éligibilité, composition du dossier de demande de financement des jeunes et femmes</w:t>
      </w: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5000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4"/>
        <w:gridCol w:w="6160"/>
      </w:tblGrid>
      <w:tr>
        <w:trPr>
          <w:trHeight w:val="315" w:hRule="atLeast"/>
          <w:tblHeader/>
        </w:trPr>
        <w:tc>
          <w:tcPr>
            <w:tcW w:w="2799" w:type="pct"/>
            <w:tcBorders/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  <w:t xml:space="preserve">Conditions d'éligibilité des guichets </w:t>
            </w:r>
          </w:p>
        </w:tc>
        <w:tc>
          <w:tcPr>
            <w:tcW w:w="2201" w:type="pct"/>
            <w:tcBorders/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  <w:t>Composition du dossier de demande de financement</w:t>
            </w:r>
          </w:p>
        </w:tc>
      </w:tr>
      <w:tr>
        <w:tblPrEx/>
        <w:trPr>
          <w:trHeight w:val="315" w:hRule="atLeast"/>
        </w:trPr>
        <w:tc>
          <w:tcPr>
            <w:tcW w:w="5000" w:type="pct"/>
            <w:gridSpan w:val="2"/>
            <w:tcBorders/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  <w:t xml:space="preserve">Guichet "18-60 ans" </w:t>
            </w:r>
            <w:r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  <w:t xml:space="preserve"> (uniquement les femmes)</w:t>
            </w:r>
          </w:p>
        </w:tc>
      </w:tr>
      <w:tr>
        <w:tblPrEx/>
        <w:trPr>
          <w:trHeight w:val="3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1. Etre de nationalité burkinabè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 xml:space="preserve">1. Demande manuscrite non timbrée adressée au coordonnateur du programme </w:t>
            </w:r>
          </w:p>
        </w:tc>
      </w:tr>
      <w:tr>
        <w:tblPrEx/>
        <w:trPr>
          <w:trHeight w:val="9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2. Etre âgée de 18 ans au moins et de 60 ans au plus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 xml:space="preserve">2. Une fiche de présentation et d’étude du microprojet  (fiche à retirer gratuitement auprès des partenaires du PAE/JF et sur les lieux réservés à cet effet) </w:t>
            </w:r>
          </w:p>
        </w:tc>
      </w:tr>
      <w:tr>
        <w:tblPrEx/>
        <w:trPr>
          <w:trHeight w:val="6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3. Ne pas être salariée du public ou du privé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3. Une copie non légalisées de la carte nationale d'identité burkinabè (CNIB) ou du passeport en cours de validité du promoteur </w:t>
            </w:r>
          </w:p>
        </w:tc>
      </w:tr>
      <w:tr>
        <w:tblPrEx/>
        <w:trPr>
          <w:trHeight w:val="9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4.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Etre une personne physique ou morale exerçant une activité  ou désirant s'y investir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</w:p>
        </w:tc>
      </w:tr>
      <w:tr>
        <w:tblPrEx/>
        <w:trPr>
          <w:trHeight w:val="9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5.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Avoir un projet rentable et créateur d'emplois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</w:p>
        </w:tc>
      </w:tr>
      <w:tr>
        <w:tblPrEx/>
        <w:trPr>
          <w:trHeight w:val="6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6.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jouir de sa pleine capacité juridique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4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. Une copie non légalisée de la carte nationale d'identité burkinabè (CNIB) ou du passeport en cours de validité de l'aval</w:t>
            </w:r>
          </w:p>
        </w:tc>
      </w:tr>
      <w:tr>
        <w:tblPrEx/>
        <w:trPr>
          <w:trHeight w:val="6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7.Ne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pas avoir un crédit en cours ou un engagement non honoré dans une structure de financement de l'Etat (FAIJ,FAPE,FAARF,FASI)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5</w:t>
            </w: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. photocopie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non légalisée des documents pertinents (attestation de formation, toutes preuves matérielles de l’expérience du promoteur)</w:t>
            </w:r>
          </w:p>
        </w:tc>
      </w:tr>
      <w:tr>
        <w:tblPrEx/>
        <w:trPr>
          <w:trHeight w:val="9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8.Accepter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participer à la formation sur l'éducation financière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6</w:t>
            </w: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.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photocopie non légalisées des actes de reconnaissance officielle pour les associations professionnelles et les groupements 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féminins(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récépissé ou agreement)</w:t>
            </w:r>
          </w:p>
        </w:tc>
      </w:tr>
      <w:tr>
        <w:tblPrEx/>
        <w:trPr>
          <w:trHeight w:val="6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9.Accepter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que l'UCG/PAE-JF et ses partenaires assurent le suivi de l’activité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7</w:t>
            </w: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.Une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copie non légalisées des CNIB des membres du groupe solidaire </w:t>
            </w:r>
          </w:p>
        </w:tc>
      </w:tr>
      <w:tr>
        <w:tblPrEx/>
        <w:trPr>
          <w:trHeight w:val="6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 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8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.Une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copie non légalisées des CNIB des trois  (03) responsables des groupements et associations </w:t>
            </w:r>
          </w:p>
        </w:tc>
      </w:tr>
      <w:tr>
        <w:tblPrEx/>
        <w:trPr>
          <w:trHeight w:val="6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 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9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.Fournir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la fiche  de caution solidaire légalisée pour les groupes solidaires (après accord du financement)</w:t>
            </w:r>
          </w:p>
        </w:tc>
      </w:tr>
      <w:tr>
        <w:tblPrEx/>
        <w:trPr>
          <w:trHeight w:val="315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 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1</w:t>
            </w:r>
            <w:r>
              <w:rPr>
                <w:rFonts w:cs="Calibri" w:eastAsia="Times New Roman" w:hAnsi="Bookman Old Style"/>
                <w:color w:val="000000"/>
                <w:lang w:val="en-US" w:eastAsia="fr-FR"/>
              </w:rPr>
              <w:t>0.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la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liste des 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>sollicitantes</w:t>
            </w:r>
            <w:r>
              <w:rPr>
                <w:rFonts w:ascii="Bookman Old Style" w:cs="Calibri" w:eastAsia="Times New Roman" w:hAnsi="Bookman Old Style"/>
                <w:color w:val="000000"/>
                <w:lang w:eastAsia="fr-FR"/>
              </w:rPr>
              <w:t xml:space="preserve"> pour les associations et groupements,</w:t>
            </w:r>
          </w:p>
        </w:tc>
      </w:tr>
      <w:tr>
        <w:tblPrEx/>
        <w:trPr>
          <w:trHeight w:val="315" w:hRule="atLeast"/>
        </w:trPr>
        <w:tc>
          <w:tcPr>
            <w:tcW w:w="5000" w:type="pct"/>
            <w:gridSpan w:val="2"/>
            <w:tcBorders/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  <w:t xml:space="preserve">Guichet "18-35 ans" </w:t>
            </w:r>
            <w:r>
              <w:rPr>
                <w:rFonts w:ascii="Bookman Old Style" w:cs="Calibri" w:eastAsia="Times New Roman" w:hAnsi="Bookman Old Style"/>
                <w:b/>
                <w:bCs/>
                <w:color w:val="000000"/>
                <w:lang w:eastAsia="fr-FR"/>
              </w:rPr>
              <w:t>(Les jeunes)</w:t>
            </w:r>
          </w:p>
        </w:tc>
      </w:tr>
      <w:tr>
        <w:tblPrEx/>
        <w:trPr>
          <w:trHeight w:val="9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 xml:space="preserve">1. Etre de nationalité burkinabè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 xml:space="preserve">1. Une fiche de présentation et d’étude du microprojet  (fiche à retirer gratuitement auprès des partenaires du PAE/JF et sur les lieux réservés à cet effet) </w:t>
            </w:r>
          </w:p>
        </w:tc>
      </w:tr>
      <w:tr>
        <w:tblPrEx/>
        <w:trPr>
          <w:trHeight w:val="3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 xml:space="preserve">2. Etre âge de 18 ans au moins et de 35 ans au plus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 xml:space="preserve">2. Demande manuscrite non timbrée adressée au coordonnateur du programme </w:t>
            </w:r>
          </w:p>
        </w:tc>
      </w:tr>
      <w:tr>
        <w:tblPrEx/>
        <w:trPr>
          <w:trHeight w:val="3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3. Etre scolarisé ou non scolarisé </w:t>
            </w:r>
          </w:p>
        </w:tc>
        <w:tc>
          <w:tcPr>
            <w:tcW w:w="2201" w:type="pct"/>
            <w:vMerge w:val="restar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3. Une copie non légalisée de la carte nationale d'identité burkinabè (CNIB) ou du passeport en cours de validité du promoteur ;</w:t>
            </w:r>
          </w:p>
        </w:tc>
      </w:tr>
      <w:tr>
        <w:tblPrEx/>
        <w:trPr>
          <w:trHeight w:val="3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 xml:space="preserve">4 .Ne pas être salarié du public ou du privé </w:t>
            </w:r>
          </w:p>
        </w:tc>
        <w:tc>
          <w:tcPr>
            <w:tcW w:w="2201" w:type="pct"/>
            <w:vMerge w:val="continue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</w:p>
        </w:tc>
      </w:tr>
      <w:tr>
        <w:tblPrEx/>
        <w:trPr>
          <w:trHeight w:val="9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 xml:space="preserve">5. Etre une personne physique ou organisation / collectif de jeunes muni d’un document de reconnaissance officielle et ayant un projet générateurs de revenus et créateur d’emplois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4. copie des documents pertinents (attestation de formation, toutes preuves matérielles de l’expérience du promoteur)</w:t>
            </w:r>
          </w:p>
        </w:tc>
      </w:tr>
      <w:tr>
        <w:tblPrEx/>
        <w:trPr>
          <w:trHeight w:val="6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6 .Etre de bonne moralité 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5. Une copie non légalisée de la Carte Nationale d'Identité Burkinabè (CNIB) ou du passeport en cours de validité  du parrain ;</w:t>
            </w:r>
          </w:p>
        </w:tc>
      </w:tr>
      <w:tr>
        <w:tblPrEx/>
        <w:trPr>
          <w:trHeight w:val="600" w:hRule="atLeast"/>
        </w:trPr>
        <w:tc>
          <w:tcPr>
            <w:tcW w:w="2799" w:type="pct"/>
            <w:tcBorders/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 xml:space="preserve">7. Jouir de sa pleine capacité juridique 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6. Copie des actes de reconnaissance officielle pour les associations professionnelles.</w:t>
            </w:r>
          </w:p>
        </w:tc>
      </w:tr>
      <w:tr>
        <w:tblPrEx/>
        <w:trPr>
          <w:trHeight w:val="6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8. Ne pas avoir un crédit en cours ou un engagement non honoré dans une structure de financement de l'Etat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7. L’engagement sur l'honneur (à présenter après accord du financement)</w:t>
            </w:r>
          </w:p>
        </w:tc>
      </w:tr>
      <w:tr>
        <w:tblPrEx/>
        <w:trPr>
          <w:trHeight w:val="3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9. Accepter participer à la formation sur l'éducation financière ;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 </w:t>
            </w:r>
          </w:p>
        </w:tc>
      </w:tr>
      <w:tr>
        <w:tblPrEx/>
        <w:trPr>
          <w:trHeight w:val="300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10. Avoir l'aval d'un mentor ou d'un parrain ;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 </w:t>
            </w:r>
          </w:p>
        </w:tc>
      </w:tr>
      <w:tr>
        <w:tblPrEx/>
        <w:trPr>
          <w:trHeight w:val="615" w:hRule="atLeast"/>
        </w:trPr>
        <w:tc>
          <w:tcPr>
            <w:tcW w:w="2799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11. Accepter que l'UCG/PAE-JF et ses partenaires assurent le suivi de l'activité.</w:t>
            </w:r>
          </w:p>
        </w:tc>
        <w:tc>
          <w:tcPr>
            <w:tcW w:w="2201" w:type="pct"/>
            <w:tcBorders/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Calibri" w:eastAsia="Times New Roman" w:hAnsi="Bookman Old Style"/>
                <w:lang w:eastAsia="fr-FR"/>
              </w:rPr>
            </w:pPr>
            <w:r>
              <w:rPr>
                <w:rFonts w:ascii="Bookman Old Style" w:cs="Calibri" w:eastAsia="Times New Roman" w:hAnsi="Bookman Old Style"/>
                <w:lang w:eastAsia="fr-FR"/>
              </w:rPr>
              <w:t> </w:t>
            </w:r>
          </w:p>
        </w:tc>
      </w:tr>
      <w:tr>
        <w:tblPrEx/>
        <w:trPr>
          <w:trHeight w:val="615" w:hRule="atLeast"/>
        </w:trPr>
        <w:tc>
          <w:tcPr>
            <w:tcW w:w="2799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Bookman Old Style" w:cs="Calibri" w:eastAsia="Times New Roman" w:hAnsi="Bookman Old Style"/>
                <w:lang w:eastAsia="fr-FR"/>
              </w:rPr>
            </w:pPr>
          </w:p>
        </w:tc>
        <w:tc>
          <w:tcPr>
            <w:tcW w:w="2201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Bookman Old Style" w:cs="Calibri" w:eastAsia="Times New Roman" w:hAnsi="Bookman Old Style"/>
                <w:lang w:eastAsia="fr-FR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Site web : www.paejf.bf/facebook:www.paejf</w:t>
      </w:r>
      <w:r>
        <w:t xml:space="preserve">.bf/ </w:t>
      </w:r>
      <w:r>
        <w:t>I</w:t>
      </w:r>
      <w:r>
        <w:t>nfoline</w:t>
      </w:r>
      <w:r>
        <w:t> </w:t>
      </w:r>
      <w:r>
        <w:t>:72</w:t>
      </w:r>
      <w:r>
        <w:t xml:space="preserve"> 40 04 44/54 88 29 98/ 58 63 10 00.</w:t>
      </w:r>
    </w:p>
    <w:p>
      <w:pPr>
        <w:pStyle w:val="style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 </w:t>
      </w:r>
      <w:r>
        <w:rPr>
          <w:b/>
          <w:i/>
          <w:sz w:val="32"/>
          <w:szCs w:val="32"/>
        </w:rPr>
        <w:t>Le PAE/JF,  une réponse forte du gouvernement à la question du chômage des jeunes et des femmes</w:t>
      </w:r>
      <w:r>
        <w:rPr>
          <w:b/>
          <w:i/>
          <w:sz w:val="32"/>
          <w:szCs w:val="32"/>
        </w:rPr>
        <w:t> »</w:t>
      </w: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58FACC"/>
    <w:lvl w:ilvl="0" w:tplc="4D9E3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4A8E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805</Words>
  <Pages>4</Pages>
  <Characters>4258</Characters>
  <Application>WPS Office</Application>
  <DocSecurity>0</DocSecurity>
  <Paragraphs>97</Paragraphs>
  <ScaleCrop>false</ScaleCrop>
  <LinksUpToDate>false</LinksUpToDate>
  <CharactersWithSpaces>5054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2019-12-03T14:27:35Z</dcterms:created>
  <dc:creator>USer</dc:creator>
  <lastModifiedBy>Infinix X624</lastModifiedBy>
  <dcterms:modified xsi:type="dcterms:W3CDTF">2019-12-03T14:27:35Z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